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A8CA" w14:textId="480AA8C3" w:rsidR="00863203" w:rsidRDefault="001C2328" w:rsidP="001C2328">
      <w:pPr>
        <w:pStyle w:val="NoSpacing"/>
      </w:pPr>
      <w:r>
        <w:t>Seattle Deadly Exchange Legislation research</w:t>
      </w:r>
    </w:p>
    <w:p w14:paraId="5BF924CB" w14:textId="0005656E" w:rsidR="001C2328" w:rsidRDefault="001C2328" w:rsidP="001C2328">
      <w:pPr>
        <w:pStyle w:val="NoSpacing"/>
      </w:pPr>
    </w:p>
    <w:p w14:paraId="6A10CCBA" w14:textId="502BF9D8" w:rsidR="001C2328" w:rsidRPr="00623935" w:rsidRDefault="00EC4FA3" w:rsidP="001C2328">
      <w:pPr>
        <w:pStyle w:val="NoSpacing"/>
        <w:rPr>
          <w:b/>
          <w:bCs/>
        </w:rPr>
      </w:pPr>
      <w:r w:rsidRPr="00623935">
        <w:rPr>
          <w:b/>
          <w:bCs/>
        </w:rPr>
        <w:t>3.28.141 Training with certain countries prohibited</w:t>
      </w:r>
    </w:p>
    <w:p w14:paraId="421CA19F" w14:textId="6A6C3727" w:rsidR="00EC4FA3" w:rsidRDefault="00EC4FA3" w:rsidP="001C2328">
      <w:pPr>
        <w:pStyle w:val="NoSpacing"/>
      </w:pPr>
      <w:r>
        <w:t>The Seattle Police Department shall not participate in any training programs, exchanges, or partnerships with the military forces of any country, or the police forces, intelligence agencies, security services, or other armed forces of any country, or engage in travel to any foreign country:</w:t>
      </w:r>
    </w:p>
    <w:p w14:paraId="548CB5A0" w14:textId="7C1DA256" w:rsidR="00EC4FA3" w:rsidRPr="00EC4FA3" w:rsidRDefault="00EC4FA3" w:rsidP="00EC4FA3">
      <w:pPr>
        <w:pStyle w:val="NoSpacing"/>
        <w:numPr>
          <w:ilvl w:val="0"/>
          <w:numId w:val="1"/>
        </w:numPr>
        <w:rPr>
          <w:b/>
          <w:bCs/>
        </w:rPr>
      </w:pPr>
      <w:r w:rsidRPr="00EC4FA3">
        <w:rPr>
          <w:b/>
          <w:bCs/>
        </w:rPr>
        <w:t>That is not party to the International Covenant on Civil &amp; Political Rights and the International Covenant on Economic Social &amp; Cultural Rights; or</w:t>
      </w:r>
    </w:p>
    <w:p w14:paraId="0D480CB5" w14:textId="53023A71" w:rsidR="00AE5473" w:rsidRDefault="00EC4FA3" w:rsidP="00AE5473">
      <w:pPr>
        <w:pStyle w:val="NoSpacing"/>
        <w:numPr>
          <w:ilvl w:val="1"/>
          <w:numId w:val="1"/>
        </w:numPr>
      </w:pPr>
      <w:r>
        <w:t>ICCPR is a multilateral treaty adopted by the UN General Assembly in 1966</w:t>
      </w:r>
      <w:r w:rsidR="00AE5473">
        <w:t>.</w:t>
      </w:r>
    </w:p>
    <w:p w14:paraId="72D0FE97" w14:textId="0837DF4F" w:rsidR="00EC4FA3" w:rsidRDefault="00AE5473" w:rsidP="00EC4FA3">
      <w:pPr>
        <w:pStyle w:val="NoSpacing"/>
        <w:numPr>
          <w:ilvl w:val="2"/>
          <w:numId w:val="1"/>
        </w:numPr>
      </w:pPr>
      <w:r>
        <w:t xml:space="preserve">As of September 2019, </w:t>
      </w:r>
      <w:r w:rsidR="00EC4FA3">
        <w:t>173 states are signatories</w:t>
      </w:r>
    </w:p>
    <w:p w14:paraId="7786E17A" w14:textId="6FA39D28" w:rsidR="00EC4FA3" w:rsidRDefault="00EC4FA3" w:rsidP="00EC4FA3">
      <w:pPr>
        <w:pStyle w:val="NoSpacing"/>
        <w:numPr>
          <w:ilvl w:val="2"/>
          <w:numId w:val="1"/>
        </w:numPr>
      </w:pPr>
      <w:r>
        <w:t>Signatories that have signed but not ratified:</w:t>
      </w:r>
    </w:p>
    <w:p w14:paraId="3A473EF3" w14:textId="42F8A842" w:rsidR="00EC4FA3" w:rsidRPr="004243B2" w:rsidRDefault="00EC4FA3" w:rsidP="00EC4FA3">
      <w:pPr>
        <w:pStyle w:val="NoSpacing"/>
        <w:numPr>
          <w:ilvl w:val="3"/>
          <w:numId w:val="1"/>
        </w:numPr>
        <w:rPr>
          <w:highlight w:val="yellow"/>
        </w:rPr>
      </w:pPr>
      <w:r w:rsidRPr="004243B2">
        <w:rPr>
          <w:highlight w:val="yellow"/>
        </w:rPr>
        <w:t>China</w:t>
      </w:r>
    </w:p>
    <w:p w14:paraId="585BD074" w14:textId="0A274C70" w:rsidR="00EC4FA3" w:rsidRDefault="00EC4FA3" w:rsidP="00EC4FA3">
      <w:pPr>
        <w:pStyle w:val="NoSpacing"/>
        <w:numPr>
          <w:ilvl w:val="3"/>
          <w:numId w:val="1"/>
        </w:numPr>
      </w:pPr>
      <w:r>
        <w:t>Comoros</w:t>
      </w:r>
    </w:p>
    <w:p w14:paraId="20AC267A" w14:textId="19451705" w:rsidR="00EC4FA3" w:rsidRDefault="00EC4FA3" w:rsidP="00EC4FA3">
      <w:pPr>
        <w:pStyle w:val="NoSpacing"/>
        <w:numPr>
          <w:ilvl w:val="3"/>
          <w:numId w:val="1"/>
        </w:numPr>
      </w:pPr>
      <w:r>
        <w:t>Cuba</w:t>
      </w:r>
    </w:p>
    <w:p w14:paraId="0A90E1DA" w14:textId="75C198A3" w:rsidR="00EC4FA3" w:rsidRDefault="00EC4FA3" w:rsidP="00EC4FA3">
      <w:pPr>
        <w:pStyle w:val="NoSpacing"/>
        <w:numPr>
          <w:ilvl w:val="3"/>
          <w:numId w:val="1"/>
        </w:numPr>
      </w:pPr>
      <w:r>
        <w:t>Nauru</w:t>
      </w:r>
    </w:p>
    <w:p w14:paraId="1F098FB1" w14:textId="3FB47045" w:rsidR="00EC4FA3" w:rsidRDefault="00EC4FA3" w:rsidP="00EC4FA3">
      <w:pPr>
        <w:pStyle w:val="NoSpacing"/>
        <w:numPr>
          <w:ilvl w:val="3"/>
          <w:numId w:val="1"/>
        </w:numPr>
      </w:pPr>
      <w:r>
        <w:t>Palau</w:t>
      </w:r>
    </w:p>
    <w:p w14:paraId="0843E5DB" w14:textId="0EEC080A" w:rsidR="00EC4FA3" w:rsidRDefault="00EC4FA3" w:rsidP="00EC4FA3">
      <w:pPr>
        <w:pStyle w:val="NoSpacing"/>
        <w:numPr>
          <w:ilvl w:val="3"/>
          <w:numId w:val="1"/>
        </w:numPr>
      </w:pPr>
      <w:r>
        <w:t>Saint Lucia</w:t>
      </w:r>
    </w:p>
    <w:p w14:paraId="0FFD1797" w14:textId="6CF4175F" w:rsidR="00EC4FA3" w:rsidRDefault="00EC4FA3" w:rsidP="00EC4FA3">
      <w:pPr>
        <w:pStyle w:val="NoSpacing"/>
        <w:numPr>
          <w:ilvl w:val="2"/>
          <w:numId w:val="1"/>
        </w:numPr>
      </w:pPr>
      <w:r>
        <w:t>States which are neither signatories nor parties:</w:t>
      </w:r>
    </w:p>
    <w:p w14:paraId="6B3199A9" w14:textId="6108AB9B" w:rsidR="00EC4FA3" w:rsidRDefault="00EC4FA3" w:rsidP="00EC4FA3">
      <w:pPr>
        <w:pStyle w:val="NoSpacing"/>
        <w:numPr>
          <w:ilvl w:val="3"/>
          <w:numId w:val="1"/>
        </w:numPr>
      </w:pPr>
      <w:r>
        <w:t>Bhutan</w:t>
      </w:r>
    </w:p>
    <w:p w14:paraId="24AC4907" w14:textId="4DED58A4" w:rsidR="00EC4FA3" w:rsidRDefault="00EC4FA3" w:rsidP="00EC4FA3">
      <w:pPr>
        <w:pStyle w:val="NoSpacing"/>
        <w:numPr>
          <w:ilvl w:val="3"/>
          <w:numId w:val="1"/>
        </w:numPr>
      </w:pPr>
      <w:r>
        <w:t>Brunei</w:t>
      </w:r>
    </w:p>
    <w:p w14:paraId="256E7501" w14:textId="62AC84CE" w:rsidR="00EC4FA3" w:rsidRDefault="00EC4FA3" w:rsidP="00EC4FA3">
      <w:pPr>
        <w:pStyle w:val="NoSpacing"/>
        <w:numPr>
          <w:ilvl w:val="3"/>
          <w:numId w:val="1"/>
        </w:numPr>
      </w:pPr>
      <w:r>
        <w:t>Kiribati</w:t>
      </w:r>
    </w:p>
    <w:p w14:paraId="0F6FC601" w14:textId="2B116400" w:rsidR="00EC4FA3" w:rsidRDefault="00EC4FA3" w:rsidP="00EC4FA3">
      <w:pPr>
        <w:pStyle w:val="NoSpacing"/>
        <w:numPr>
          <w:ilvl w:val="3"/>
          <w:numId w:val="1"/>
        </w:numPr>
      </w:pPr>
      <w:r>
        <w:t>Malaysia</w:t>
      </w:r>
    </w:p>
    <w:p w14:paraId="55362BF8" w14:textId="73E024C8" w:rsidR="00EC4FA3" w:rsidRDefault="00EC4FA3" w:rsidP="00EC4FA3">
      <w:pPr>
        <w:pStyle w:val="NoSpacing"/>
        <w:numPr>
          <w:ilvl w:val="3"/>
          <w:numId w:val="1"/>
        </w:numPr>
      </w:pPr>
      <w:r>
        <w:t>Micronesia</w:t>
      </w:r>
    </w:p>
    <w:p w14:paraId="78F00390" w14:textId="2E0B97DF" w:rsidR="00EC4FA3" w:rsidRDefault="00EC4FA3" w:rsidP="00EC4FA3">
      <w:pPr>
        <w:pStyle w:val="NoSpacing"/>
        <w:numPr>
          <w:ilvl w:val="3"/>
          <w:numId w:val="1"/>
        </w:numPr>
      </w:pPr>
      <w:r>
        <w:t>Myanmar</w:t>
      </w:r>
    </w:p>
    <w:p w14:paraId="0DCE210E" w14:textId="0B23B855" w:rsidR="00EC4FA3" w:rsidRDefault="00EC4FA3" w:rsidP="00EC4FA3">
      <w:pPr>
        <w:pStyle w:val="NoSpacing"/>
        <w:numPr>
          <w:ilvl w:val="3"/>
          <w:numId w:val="1"/>
        </w:numPr>
      </w:pPr>
      <w:r>
        <w:t>Oman</w:t>
      </w:r>
    </w:p>
    <w:p w14:paraId="74634701" w14:textId="6C28D950" w:rsidR="00EC4FA3" w:rsidRDefault="00EC4FA3" w:rsidP="00EC4FA3">
      <w:pPr>
        <w:pStyle w:val="NoSpacing"/>
        <w:numPr>
          <w:ilvl w:val="3"/>
          <w:numId w:val="1"/>
        </w:numPr>
      </w:pPr>
      <w:r>
        <w:t>Saint Kitts and Nevis</w:t>
      </w:r>
    </w:p>
    <w:p w14:paraId="7625C7C6" w14:textId="31B6BBA2" w:rsidR="00EC4FA3" w:rsidRDefault="00EC4FA3" w:rsidP="00EC4FA3">
      <w:pPr>
        <w:pStyle w:val="NoSpacing"/>
        <w:numPr>
          <w:ilvl w:val="3"/>
          <w:numId w:val="1"/>
        </w:numPr>
      </w:pPr>
      <w:r>
        <w:t>Saudi Arabia</w:t>
      </w:r>
    </w:p>
    <w:p w14:paraId="4A491695" w14:textId="6EBC3E4A" w:rsidR="00EC4FA3" w:rsidRDefault="00EC4FA3" w:rsidP="00EC4FA3">
      <w:pPr>
        <w:pStyle w:val="NoSpacing"/>
        <w:numPr>
          <w:ilvl w:val="3"/>
          <w:numId w:val="1"/>
        </w:numPr>
      </w:pPr>
      <w:r>
        <w:t>Singapore</w:t>
      </w:r>
    </w:p>
    <w:p w14:paraId="46AE8CD3" w14:textId="23CDBFF5" w:rsidR="00EC4FA3" w:rsidRDefault="00EC4FA3" w:rsidP="00EC4FA3">
      <w:pPr>
        <w:pStyle w:val="NoSpacing"/>
        <w:numPr>
          <w:ilvl w:val="3"/>
          <w:numId w:val="1"/>
        </w:numPr>
      </w:pPr>
      <w:r>
        <w:t>Solomon Islands</w:t>
      </w:r>
    </w:p>
    <w:p w14:paraId="2749D99F" w14:textId="6A136BAC" w:rsidR="00EC4FA3" w:rsidRDefault="00EC4FA3" w:rsidP="00EC4FA3">
      <w:pPr>
        <w:pStyle w:val="NoSpacing"/>
        <w:numPr>
          <w:ilvl w:val="3"/>
          <w:numId w:val="1"/>
        </w:numPr>
      </w:pPr>
      <w:r>
        <w:t>South Sudan</w:t>
      </w:r>
    </w:p>
    <w:p w14:paraId="061684DF" w14:textId="19544CAA" w:rsidR="00EC4FA3" w:rsidRDefault="00EC4FA3" w:rsidP="00EC4FA3">
      <w:pPr>
        <w:pStyle w:val="NoSpacing"/>
        <w:numPr>
          <w:ilvl w:val="3"/>
          <w:numId w:val="1"/>
        </w:numPr>
      </w:pPr>
      <w:r>
        <w:t>Tonga</w:t>
      </w:r>
    </w:p>
    <w:p w14:paraId="520DE375" w14:textId="5E7F8585" w:rsidR="00EC4FA3" w:rsidRDefault="00EC4FA3" w:rsidP="00EC4FA3">
      <w:pPr>
        <w:pStyle w:val="NoSpacing"/>
        <w:numPr>
          <w:ilvl w:val="3"/>
          <w:numId w:val="1"/>
        </w:numPr>
      </w:pPr>
      <w:r>
        <w:t>Tuvalu</w:t>
      </w:r>
    </w:p>
    <w:p w14:paraId="5D322598" w14:textId="41B6E4E5" w:rsidR="00EC4FA3" w:rsidRDefault="00EC4FA3" w:rsidP="00EC4FA3">
      <w:pPr>
        <w:pStyle w:val="NoSpacing"/>
        <w:numPr>
          <w:ilvl w:val="3"/>
          <w:numId w:val="1"/>
        </w:numPr>
      </w:pPr>
      <w:r>
        <w:t>United Arab Emirates</w:t>
      </w:r>
    </w:p>
    <w:p w14:paraId="207806FA" w14:textId="0083427A" w:rsidR="00EC4FA3" w:rsidRDefault="00EC4FA3" w:rsidP="00EC4FA3">
      <w:pPr>
        <w:pStyle w:val="NoSpacing"/>
        <w:numPr>
          <w:ilvl w:val="1"/>
          <w:numId w:val="1"/>
        </w:numPr>
      </w:pPr>
      <w:r>
        <w:t xml:space="preserve">ICESCR is a multilateral treaty adopted by the </w:t>
      </w:r>
      <w:r w:rsidR="00AE5473">
        <w:t>United States General Assembly</w:t>
      </w:r>
    </w:p>
    <w:p w14:paraId="4699E576" w14:textId="3ABB2AC2" w:rsidR="00AE5473" w:rsidRDefault="00AE5473" w:rsidP="00AE5473">
      <w:pPr>
        <w:pStyle w:val="NoSpacing"/>
        <w:numPr>
          <w:ilvl w:val="2"/>
          <w:numId w:val="1"/>
        </w:numPr>
      </w:pPr>
      <w:r>
        <w:t>As of July 2020, the Covenant has 171 parties</w:t>
      </w:r>
    </w:p>
    <w:p w14:paraId="39641F55" w14:textId="44E523E8" w:rsidR="00AE5473" w:rsidRDefault="00AE5473" w:rsidP="00AE5473">
      <w:pPr>
        <w:pStyle w:val="NoSpacing"/>
        <w:numPr>
          <w:ilvl w:val="3"/>
          <w:numId w:val="1"/>
        </w:numPr>
      </w:pPr>
      <w:r>
        <w:t>Signed but not ratified</w:t>
      </w:r>
    </w:p>
    <w:p w14:paraId="259F5473" w14:textId="74EDFB5E" w:rsidR="00AE5473" w:rsidRDefault="00AE5473" w:rsidP="00AE5473">
      <w:pPr>
        <w:pStyle w:val="NoSpacing"/>
        <w:numPr>
          <w:ilvl w:val="4"/>
          <w:numId w:val="1"/>
        </w:numPr>
      </w:pPr>
      <w:r>
        <w:t>Comoros</w:t>
      </w:r>
    </w:p>
    <w:p w14:paraId="68D141FA" w14:textId="667B2D45" w:rsidR="00AE5473" w:rsidRDefault="00AE5473" w:rsidP="00AE5473">
      <w:pPr>
        <w:pStyle w:val="NoSpacing"/>
        <w:numPr>
          <w:ilvl w:val="4"/>
          <w:numId w:val="1"/>
        </w:numPr>
      </w:pPr>
      <w:r>
        <w:t>Cuba</w:t>
      </w:r>
    </w:p>
    <w:p w14:paraId="1E84ACE6" w14:textId="31CFB705" w:rsidR="00AE5473" w:rsidRDefault="00AE5473" w:rsidP="00AE5473">
      <w:pPr>
        <w:pStyle w:val="NoSpacing"/>
        <w:numPr>
          <w:ilvl w:val="4"/>
          <w:numId w:val="1"/>
        </w:numPr>
      </w:pPr>
      <w:r>
        <w:t>Palau</w:t>
      </w:r>
    </w:p>
    <w:p w14:paraId="08AD17E2" w14:textId="5EC32DF2" w:rsidR="00AE5473" w:rsidRPr="004243B2" w:rsidRDefault="00AE5473" w:rsidP="00AE5473">
      <w:pPr>
        <w:pStyle w:val="NoSpacing"/>
        <w:numPr>
          <w:ilvl w:val="4"/>
          <w:numId w:val="1"/>
        </w:numPr>
        <w:rPr>
          <w:highlight w:val="yellow"/>
        </w:rPr>
      </w:pPr>
      <w:r w:rsidRPr="004243B2">
        <w:rPr>
          <w:highlight w:val="yellow"/>
        </w:rPr>
        <w:t>United States of America</w:t>
      </w:r>
    </w:p>
    <w:p w14:paraId="00C6910F" w14:textId="109B7F00" w:rsidR="00AE5473" w:rsidRDefault="00AE5473" w:rsidP="00AE5473">
      <w:pPr>
        <w:pStyle w:val="NoSpacing"/>
        <w:numPr>
          <w:ilvl w:val="3"/>
          <w:numId w:val="1"/>
        </w:numPr>
      </w:pPr>
      <w:r>
        <w:t>Neither signed nor ratified</w:t>
      </w:r>
    </w:p>
    <w:p w14:paraId="3863D700" w14:textId="110649A1" w:rsidR="00AE5473" w:rsidRDefault="00AE5473" w:rsidP="00AE5473">
      <w:pPr>
        <w:pStyle w:val="NoSpacing"/>
        <w:numPr>
          <w:ilvl w:val="4"/>
          <w:numId w:val="1"/>
        </w:numPr>
      </w:pPr>
      <w:r>
        <w:t>Andorra</w:t>
      </w:r>
    </w:p>
    <w:p w14:paraId="394365C7" w14:textId="1F820295" w:rsidR="00AE5473" w:rsidRDefault="00AE5473" w:rsidP="00AE5473">
      <w:pPr>
        <w:pStyle w:val="NoSpacing"/>
        <w:numPr>
          <w:ilvl w:val="4"/>
          <w:numId w:val="1"/>
        </w:numPr>
      </w:pPr>
      <w:r>
        <w:t>Botswana</w:t>
      </w:r>
    </w:p>
    <w:p w14:paraId="59A9C832" w14:textId="2405CF9A" w:rsidR="00AE5473" w:rsidRDefault="00AE5473" w:rsidP="00AE5473">
      <w:pPr>
        <w:pStyle w:val="NoSpacing"/>
        <w:numPr>
          <w:ilvl w:val="4"/>
          <w:numId w:val="1"/>
        </w:numPr>
      </w:pPr>
      <w:r>
        <w:t>Bhutan</w:t>
      </w:r>
    </w:p>
    <w:p w14:paraId="0DFA1BB1" w14:textId="3EB85E7E" w:rsidR="00AE5473" w:rsidRDefault="00AE5473" w:rsidP="00AE5473">
      <w:pPr>
        <w:pStyle w:val="NoSpacing"/>
        <w:numPr>
          <w:ilvl w:val="4"/>
          <w:numId w:val="1"/>
        </w:numPr>
      </w:pPr>
      <w:r>
        <w:t>Brunei</w:t>
      </w:r>
    </w:p>
    <w:p w14:paraId="420DE3DC" w14:textId="3D1BAC99" w:rsidR="00AE5473" w:rsidRDefault="00AE5473" w:rsidP="00AE5473">
      <w:pPr>
        <w:pStyle w:val="NoSpacing"/>
        <w:numPr>
          <w:ilvl w:val="4"/>
          <w:numId w:val="1"/>
        </w:numPr>
      </w:pPr>
      <w:r>
        <w:t>Kiribati</w:t>
      </w:r>
    </w:p>
    <w:p w14:paraId="69B9496A" w14:textId="04F04672" w:rsidR="00AE5473" w:rsidRDefault="00AE5473" w:rsidP="00AE5473">
      <w:pPr>
        <w:pStyle w:val="NoSpacing"/>
        <w:numPr>
          <w:ilvl w:val="4"/>
          <w:numId w:val="1"/>
        </w:numPr>
      </w:pPr>
      <w:r>
        <w:t>Malaysia</w:t>
      </w:r>
    </w:p>
    <w:p w14:paraId="10CB46A1" w14:textId="67690CD1" w:rsidR="00AE5473" w:rsidRDefault="00AE5473" w:rsidP="00AE5473">
      <w:pPr>
        <w:pStyle w:val="NoSpacing"/>
        <w:numPr>
          <w:ilvl w:val="4"/>
          <w:numId w:val="1"/>
        </w:numPr>
      </w:pPr>
      <w:r>
        <w:t>Federated States of Micronesia</w:t>
      </w:r>
    </w:p>
    <w:p w14:paraId="441D94CD" w14:textId="01D3323C" w:rsidR="00AE5473" w:rsidRDefault="00AE5473" w:rsidP="00AE5473">
      <w:pPr>
        <w:pStyle w:val="NoSpacing"/>
        <w:numPr>
          <w:ilvl w:val="4"/>
          <w:numId w:val="1"/>
        </w:numPr>
      </w:pPr>
      <w:r>
        <w:lastRenderedPageBreak/>
        <w:t>Mozambique</w:t>
      </w:r>
    </w:p>
    <w:p w14:paraId="44A2F995" w14:textId="65FCD141" w:rsidR="00AE5473" w:rsidRDefault="00AE5473" w:rsidP="00AE5473">
      <w:pPr>
        <w:pStyle w:val="NoSpacing"/>
        <w:numPr>
          <w:ilvl w:val="4"/>
          <w:numId w:val="1"/>
        </w:numPr>
      </w:pPr>
      <w:r>
        <w:t>Nauru</w:t>
      </w:r>
    </w:p>
    <w:p w14:paraId="2EF48BCC" w14:textId="7D5DE719" w:rsidR="00AE5473" w:rsidRDefault="00AE5473" w:rsidP="00AE5473">
      <w:pPr>
        <w:pStyle w:val="NoSpacing"/>
        <w:numPr>
          <w:ilvl w:val="4"/>
          <w:numId w:val="1"/>
        </w:numPr>
      </w:pPr>
      <w:r>
        <w:t>Oman</w:t>
      </w:r>
    </w:p>
    <w:p w14:paraId="16779D41" w14:textId="48F6CD24" w:rsidR="00AE5473" w:rsidRDefault="00AE5473" w:rsidP="00AE5473">
      <w:pPr>
        <w:pStyle w:val="NoSpacing"/>
        <w:numPr>
          <w:ilvl w:val="4"/>
          <w:numId w:val="1"/>
        </w:numPr>
      </w:pPr>
      <w:r>
        <w:t>Saint Kitts and Nevis</w:t>
      </w:r>
    </w:p>
    <w:p w14:paraId="3F28A722" w14:textId="163EA482" w:rsidR="00AE5473" w:rsidRDefault="00AE5473" w:rsidP="00AE5473">
      <w:pPr>
        <w:pStyle w:val="NoSpacing"/>
        <w:numPr>
          <w:ilvl w:val="4"/>
          <w:numId w:val="1"/>
        </w:numPr>
      </w:pPr>
      <w:r>
        <w:t>Samoa</w:t>
      </w:r>
    </w:p>
    <w:p w14:paraId="7C39BFED" w14:textId="78C0D1A3" w:rsidR="00AE5473" w:rsidRPr="004243B2" w:rsidRDefault="00AE5473" w:rsidP="00AE5473">
      <w:pPr>
        <w:pStyle w:val="NoSpacing"/>
        <w:numPr>
          <w:ilvl w:val="4"/>
          <w:numId w:val="1"/>
        </w:numPr>
        <w:rPr>
          <w:highlight w:val="yellow"/>
        </w:rPr>
      </w:pPr>
      <w:r w:rsidRPr="004243B2">
        <w:rPr>
          <w:highlight w:val="yellow"/>
        </w:rPr>
        <w:t>Saudi Arabia</w:t>
      </w:r>
    </w:p>
    <w:p w14:paraId="18375E77" w14:textId="2FBDBCF7" w:rsidR="00AE5473" w:rsidRDefault="00AE5473" w:rsidP="00AE5473">
      <w:pPr>
        <w:pStyle w:val="NoSpacing"/>
        <w:numPr>
          <w:ilvl w:val="4"/>
          <w:numId w:val="1"/>
        </w:numPr>
      </w:pPr>
      <w:r>
        <w:t>Singapore</w:t>
      </w:r>
    </w:p>
    <w:p w14:paraId="1D0720CE" w14:textId="33414000" w:rsidR="00AE5473" w:rsidRDefault="00AE5473" w:rsidP="00AE5473">
      <w:pPr>
        <w:pStyle w:val="NoSpacing"/>
        <w:numPr>
          <w:ilvl w:val="4"/>
          <w:numId w:val="1"/>
        </w:numPr>
      </w:pPr>
      <w:r>
        <w:t>St. Lucia</w:t>
      </w:r>
    </w:p>
    <w:p w14:paraId="69412154" w14:textId="0DEB6F30" w:rsidR="00AE5473" w:rsidRDefault="00AE5473" w:rsidP="00AE5473">
      <w:pPr>
        <w:pStyle w:val="NoSpacing"/>
        <w:numPr>
          <w:ilvl w:val="4"/>
          <w:numId w:val="1"/>
        </w:numPr>
      </w:pPr>
      <w:r>
        <w:t>South Sudan</w:t>
      </w:r>
    </w:p>
    <w:p w14:paraId="1C154D7F" w14:textId="268A1ADC" w:rsidR="00AE5473" w:rsidRDefault="00AE5473" w:rsidP="00AE5473">
      <w:pPr>
        <w:pStyle w:val="NoSpacing"/>
        <w:numPr>
          <w:ilvl w:val="4"/>
          <w:numId w:val="1"/>
        </w:numPr>
      </w:pPr>
      <w:r>
        <w:t>Tonga</w:t>
      </w:r>
    </w:p>
    <w:p w14:paraId="1B353AB2" w14:textId="274F2DB5" w:rsidR="00AE5473" w:rsidRDefault="00AE5473" w:rsidP="00AE5473">
      <w:pPr>
        <w:pStyle w:val="NoSpacing"/>
        <w:numPr>
          <w:ilvl w:val="4"/>
          <w:numId w:val="1"/>
        </w:numPr>
      </w:pPr>
      <w:r>
        <w:t>Tuvalu</w:t>
      </w:r>
    </w:p>
    <w:p w14:paraId="23994C87" w14:textId="1E2F90C3" w:rsidR="00AE5473" w:rsidRDefault="00AE5473" w:rsidP="00AE5473">
      <w:pPr>
        <w:pStyle w:val="NoSpacing"/>
        <w:numPr>
          <w:ilvl w:val="4"/>
          <w:numId w:val="1"/>
        </w:numPr>
      </w:pPr>
      <w:r>
        <w:t>United Arab Emirates</w:t>
      </w:r>
    </w:p>
    <w:p w14:paraId="21D14C47" w14:textId="165E81CD" w:rsidR="00AE5473" w:rsidRDefault="00AE5473" w:rsidP="00AE5473">
      <w:pPr>
        <w:pStyle w:val="NoSpacing"/>
        <w:numPr>
          <w:ilvl w:val="4"/>
          <w:numId w:val="1"/>
        </w:numPr>
      </w:pPr>
      <w:r>
        <w:t>Vanuatu</w:t>
      </w:r>
    </w:p>
    <w:p w14:paraId="1973A249" w14:textId="70206991" w:rsidR="00EC4FA3" w:rsidRPr="00623935" w:rsidRDefault="00EC4FA3" w:rsidP="00EC4FA3">
      <w:pPr>
        <w:pStyle w:val="NoSpacing"/>
        <w:numPr>
          <w:ilvl w:val="0"/>
          <w:numId w:val="1"/>
        </w:numPr>
        <w:rPr>
          <w:b/>
          <w:bCs/>
        </w:rPr>
      </w:pPr>
      <w:r w:rsidRPr="00623935">
        <w:rPr>
          <w:b/>
          <w:bCs/>
        </w:rPr>
        <w:t>That has been found in the last ten years by an international court or United Nations body to have been in violation of either of these covenants; or</w:t>
      </w:r>
    </w:p>
    <w:p w14:paraId="267EDF0E" w14:textId="0D4974A9" w:rsidR="00623935" w:rsidRPr="004243B2" w:rsidRDefault="00623935" w:rsidP="00623935">
      <w:pPr>
        <w:pStyle w:val="NoSpacing"/>
        <w:numPr>
          <w:ilvl w:val="1"/>
          <w:numId w:val="1"/>
        </w:numPr>
        <w:rPr>
          <w:highlight w:val="yellow"/>
        </w:rPr>
      </w:pPr>
      <w:r w:rsidRPr="004243B2">
        <w:rPr>
          <w:highlight w:val="yellow"/>
        </w:rPr>
        <w:t xml:space="preserve">In August 2018, the UN Human Rights Committee found that </w:t>
      </w:r>
      <w:hyperlink r:id="rId5" w:history="1">
        <w:r w:rsidRPr="004243B2">
          <w:rPr>
            <w:rStyle w:val="Hyperlink"/>
            <w:highlight w:val="yellow"/>
          </w:rPr>
          <w:t>France</w:t>
        </w:r>
      </w:hyperlink>
      <w:r w:rsidRPr="004243B2">
        <w:rPr>
          <w:highlight w:val="yellow"/>
        </w:rPr>
        <w:t xml:space="preserve"> violated the ICCPR</w:t>
      </w:r>
    </w:p>
    <w:p w14:paraId="560D251A" w14:textId="4AD5401A" w:rsidR="00925F94" w:rsidRPr="004243B2" w:rsidRDefault="00925F94" w:rsidP="00623935">
      <w:pPr>
        <w:pStyle w:val="NoSpacing"/>
        <w:numPr>
          <w:ilvl w:val="1"/>
          <w:numId w:val="1"/>
        </w:numPr>
        <w:rPr>
          <w:highlight w:val="yellow"/>
        </w:rPr>
      </w:pPr>
      <w:r w:rsidRPr="004243B2">
        <w:rPr>
          <w:highlight w:val="yellow"/>
        </w:rPr>
        <w:t xml:space="preserve">In March 2017, the UN Human Rights Committee issued report on </w:t>
      </w:r>
      <w:hyperlink r:id="rId6" w:history="1">
        <w:r w:rsidRPr="004243B2">
          <w:rPr>
            <w:rStyle w:val="Hyperlink"/>
            <w:highlight w:val="yellow"/>
          </w:rPr>
          <w:t>Thailand’</w:t>
        </w:r>
      </w:hyperlink>
      <w:r w:rsidRPr="004243B2">
        <w:rPr>
          <w:highlight w:val="yellow"/>
        </w:rPr>
        <w:t xml:space="preserve">s violations of the ICCPR </w:t>
      </w:r>
    </w:p>
    <w:p w14:paraId="7208F910" w14:textId="0BF30594" w:rsidR="00476736" w:rsidRPr="004243B2" w:rsidRDefault="00476736" w:rsidP="00623935">
      <w:pPr>
        <w:pStyle w:val="NoSpacing"/>
        <w:numPr>
          <w:ilvl w:val="1"/>
          <w:numId w:val="1"/>
        </w:numPr>
        <w:rPr>
          <w:highlight w:val="yellow"/>
        </w:rPr>
      </w:pPr>
      <w:r w:rsidRPr="004243B2">
        <w:rPr>
          <w:highlight w:val="yellow"/>
        </w:rPr>
        <w:t xml:space="preserve">In 2012, the European Court of Human Rights held that </w:t>
      </w:r>
      <w:hyperlink r:id="rId7" w:history="1">
        <w:r w:rsidRPr="004243B2">
          <w:rPr>
            <w:rStyle w:val="Hyperlink"/>
            <w:highlight w:val="yellow"/>
          </w:rPr>
          <w:t>Italy</w:t>
        </w:r>
      </w:hyperlink>
      <w:r w:rsidRPr="004243B2">
        <w:rPr>
          <w:highlight w:val="yellow"/>
        </w:rPr>
        <w:t xml:space="preserve"> violated human rights obligations by sending Somalian and Eritrean migrants back to Libya</w:t>
      </w:r>
    </w:p>
    <w:p w14:paraId="0529C56D" w14:textId="6F65C8E8" w:rsidR="003F504A" w:rsidRDefault="003F504A" w:rsidP="00623935">
      <w:pPr>
        <w:pStyle w:val="NoSpacing"/>
        <w:numPr>
          <w:ilvl w:val="1"/>
          <w:numId w:val="1"/>
        </w:numPr>
      </w:pPr>
      <w:r w:rsidRPr="004243B2">
        <w:rPr>
          <w:highlight w:val="yellow"/>
        </w:rPr>
        <w:t xml:space="preserve">In 2017, the Committee on Economic, Social, and Cultural Rights found that </w:t>
      </w:r>
      <w:hyperlink r:id="rId8" w:history="1">
        <w:r w:rsidRPr="004243B2">
          <w:rPr>
            <w:rStyle w:val="Hyperlink"/>
            <w:highlight w:val="yellow"/>
          </w:rPr>
          <w:t>Spain</w:t>
        </w:r>
      </w:hyperlink>
      <w:r>
        <w:t xml:space="preserve"> violated the ICESCR after violating the right to housing of a family with young children</w:t>
      </w:r>
    </w:p>
    <w:p w14:paraId="33180725" w14:textId="655757CE" w:rsidR="00EC4FA3" w:rsidRPr="003A5A42" w:rsidRDefault="00EC4FA3" w:rsidP="00EC4FA3">
      <w:pPr>
        <w:pStyle w:val="NoSpacing"/>
        <w:numPr>
          <w:ilvl w:val="0"/>
          <w:numId w:val="1"/>
        </w:numPr>
        <w:rPr>
          <w:b/>
          <w:bCs/>
        </w:rPr>
      </w:pPr>
      <w:r w:rsidRPr="003A5A42">
        <w:rPr>
          <w:b/>
          <w:bCs/>
        </w:rPr>
        <w:t>That has been documented by an international court or United Nations body to have committed violations of the Fourth Geneva Convention that have not been fully remedies to the satisfaction of the court or body that documented those violations</w:t>
      </w:r>
    </w:p>
    <w:p w14:paraId="62D05DDD" w14:textId="48076555" w:rsidR="003A5A42" w:rsidRDefault="003A5A42" w:rsidP="003A5A42">
      <w:pPr>
        <w:pStyle w:val="NoSpacing"/>
        <w:numPr>
          <w:ilvl w:val="1"/>
          <w:numId w:val="1"/>
        </w:numPr>
      </w:pPr>
      <w:r>
        <w:t xml:space="preserve">In July 2004, International Court of Justice found that </w:t>
      </w:r>
      <w:hyperlink r:id="rId9" w:history="1">
        <w:r w:rsidRPr="003A5A42">
          <w:rPr>
            <w:rStyle w:val="Hyperlink"/>
          </w:rPr>
          <w:t>Israel’s</w:t>
        </w:r>
      </w:hyperlink>
      <w:r>
        <w:t xml:space="preserve"> construction of wall in Palestinian territory violates the Fourth Geneva Convention</w:t>
      </w:r>
    </w:p>
    <w:p w14:paraId="66103326" w14:textId="32E6BD3B" w:rsidR="002043BE" w:rsidRDefault="002043BE" w:rsidP="003A5A42">
      <w:pPr>
        <w:pStyle w:val="NoSpacing"/>
        <w:numPr>
          <w:ilvl w:val="1"/>
          <w:numId w:val="1"/>
        </w:numPr>
      </w:pPr>
      <w:r>
        <w:t xml:space="preserve">In September 2019, the UN Human Rights Council found that the </w:t>
      </w:r>
      <w:hyperlink r:id="rId10" w:history="1">
        <w:r w:rsidRPr="001F56E7">
          <w:rPr>
            <w:rStyle w:val="Hyperlink"/>
            <w:highlight w:val="yellow"/>
          </w:rPr>
          <w:t>United States, Britain, and France</w:t>
        </w:r>
      </w:hyperlink>
      <w:r>
        <w:t xml:space="preserve"> may be complicit in war crimes committed in Yemen</w:t>
      </w:r>
    </w:p>
    <w:p w14:paraId="40459610" w14:textId="489AB842" w:rsidR="00EC4FA3" w:rsidRDefault="00EC4FA3" w:rsidP="00EC4FA3">
      <w:pPr>
        <w:pStyle w:val="NoSpacing"/>
      </w:pPr>
    </w:p>
    <w:p w14:paraId="729B8AA6" w14:textId="5422F7DE" w:rsidR="00EC4FA3" w:rsidRDefault="00EC4FA3" w:rsidP="00EC4FA3">
      <w:pPr>
        <w:pStyle w:val="NoSpacing"/>
      </w:pPr>
    </w:p>
    <w:p w14:paraId="5C8BD956" w14:textId="77777777" w:rsidR="00EC4FA3" w:rsidRDefault="00EC4FA3" w:rsidP="00EC4FA3">
      <w:pPr>
        <w:pStyle w:val="NoSpacing"/>
      </w:pPr>
    </w:p>
    <w:p w14:paraId="6C00B96D" w14:textId="72D68088" w:rsidR="001C2328" w:rsidRDefault="001C2328" w:rsidP="001C2328">
      <w:pPr>
        <w:pStyle w:val="NoSpacing"/>
      </w:pPr>
    </w:p>
    <w:p w14:paraId="2A0DDE03" w14:textId="710AF5A0" w:rsidR="001C2328" w:rsidRDefault="001C2328" w:rsidP="001C2328">
      <w:pPr>
        <w:pStyle w:val="NoSpacing"/>
      </w:pPr>
    </w:p>
    <w:p w14:paraId="4C7DE17A" w14:textId="77777777" w:rsidR="001C2328" w:rsidRDefault="001C2328" w:rsidP="001C2328">
      <w:pPr>
        <w:pStyle w:val="NoSpacing"/>
      </w:pPr>
    </w:p>
    <w:sectPr w:rsidR="001C2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A276F"/>
    <w:multiLevelType w:val="hybridMultilevel"/>
    <w:tmpl w:val="02CA73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28"/>
    <w:rsid w:val="001C2328"/>
    <w:rsid w:val="001F56E7"/>
    <w:rsid w:val="002043BE"/>
    <w:rsid w:val="002211D1"/>
    <w:rsid w:val="002873EB"/>
    <w:rsid w:val="003A5A42"/>
    <w:rsid w:val="003F504A"/>
    <w:rsid w:val="004243B2"/>
    <w:rsid w:val="00476736"/>
    <w:rsid w:val="004D0651"/>
    <w:rsid w:val="00623935"/>
    <w:rsid w:val="00763A30"/>
    <w:rsid w:val="007C5D27"/>
    <w:rsid w:val="007F3DAB"/>
    <w:rsid w:val="00854650"/>
    <w:rsid w:val="00863203"/>
    <w:rsid w:val="00925F94"/>
    <w:rsid w:val="00946806"/>
    <w:rsid w:val="009E2045"/>
    <w:rsid w:val="00AE5473"/>
    <w:rsid w:val="00D00CC1"/>
    <w:rsid w:val="00EB2242"/>
    <w:rsid w:val="00EC4F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348F"/>
  <w15:chartTrackingRefBased/>
  <w15:docId w15:val="{83610EAA-303E-4FF6-81FD-FAB6F2EC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328"/>
    <w:pPr>
      <w:spacing w:after="0" w:line="240" w:lineRule="auto"/>
    </w:pPr>
  </w:style>
  <w:style w:type="character" w:styleId="Hyperlink">
    <w:name w:val="Hyperlink"/>
    <w:basedOn w:val="DefaultParagraphFont"/>
    <w:uiPriority w:val="99"/>
    <w:unhideWhenUsed/>
    <w:rsid w:val="00623935"/>
    <w:rPr>
      <w:color w:val="0563C1" w:themeColor="hyperlink"/>
      <w:u w:val="single"/>
    </w:rPr>
  </w:style>
  <w:style w:type="character" w:styleId="UnresolvedMention">
    <w:name w:val="Unresolved Mention"/>
    <w:basedOn w:val="DefaultParagraphFont"/>
    <w:uiPriority w:val="99"/>
    <w:semiHidden/>
    <w:unhideWhenUsed/>
    <w:rsid w:val="0062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93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ingrightswatch.org/news/cescr-ruling-eviction-violated-family%E2%80%99s-human-rights-spain" TargetMode="External"/><Relationship Id="rId3" Type="http://schemas.openxmlformats.org/officeDocument/2006/relationships/settings" Target="settings.xml"/><Relationship Id="rId7" Type="http://schemas.openxmlformats.org/officeDocument/2006/relationships/hyperlink" Target="https://ijrcenter.org/country-factsheets/country-factsheets-europe/italy-factshe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dh.org/en/region/asia/thailand/un-body-slams-ongoing-violations-of-civil-and-political-rights" TargetMode="External"/><Relationship Id="rId11" Type="http://schemas.openxmlformats.org/officeDocument/2006/relationships/fontTable" Target="fontTable.xml"/><Relationship Id="rId5" Type="http://schemas.openxmlformats.org/officeDocument/2006/relationships/hyperlink" Target="https://aidc-iacl.org/un-human-rights-committee-finds-iccpr-violation-by-france/" TargetMode="External"/><Relationship Id="rId10" Type="http://schemas.openxmlformats.org/officeDocument/2006/relationships/hyperlink" Target="https://www.washingtonpost.com/world/un-report-says-us-britain-france-complicit-in-potential-war-crimes-in-yemen/2019/09/03/ad278cf6-ce48-11e9-9031-519885a08a86_story.html" TargetMode="External"/><Relationship Id="rId4" Type="http://schemas.openxmlformats.org/officeDocument/2006/relationships/webSettings" Target="webSettings.xml"/><Relationship Id="rId9" Type="http://schemas.openxmlformats.org/officeDocument/2006/relationships/hyperlink" Target="https://www.un.org/press/en/2004/icj616.d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Holtzman, Beth</dc:creator>
  <cp:keywords/>
  <dc:description/>
  <cp:lastModifiedBy>Nevet Basker</cp:lastModifiedBy>
  <cp:revision>2</cp:revision>
  <dcterms:created xsi:type="dcterms:W3CDTF">2021-08-02T20:40:00Z</dcterms:created>
  <dcterms:modified xsi:type="dcterms:W3CDTF">2021-08-02T20:40:00Z</dcterms:modified>
</cp:coreProperties>
</file>